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_GBK"/>
          <w:bCs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附件4</w:t>
      </w:r>
    </w:p>
    <w:p>
      <w:pPr>
        <w:spacing w:line="62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主要业绩及</w:t>
      </w: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推荐</w:t>
      </w: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理由</w:t>
      </w:r>
    </w:p>
    <w:bookmarkEnd w:id="0"/>
    <w:p>
      <w:pPr>
        <w:spacing w:line="620" w:lineRule="exact"/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楷体_GB2312" w:hAnsi="Times New Roman" w:eastAsia="楷体_GB2312" w:cs="Times New Roman"/>
          <w:sz w:val="36"/>
          <w:szCs w:val="36"/>
        </w:rPr>
        <w:t>（参考提纲）</w:t>
      </w:r>
    </w:p>
    <w:p>
      <w:pPr>
        <w:spacing w:line="620" w:lineRule="exact"/>
        <w:ind w:firstLine="723" w:firstLineChars="200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推荐</w:t>
      </w:r>
      <w:r>
        <w:rPr>
          <w:rFonts w:ascii="黑体" w:hAnsi="黑体" w:eastAsia="黑体" w:cs="Times New Roman"/>
          <w:sz w:val="32"/>
          <w:szCs w:val="32"/>
        </w:rPr>
        <w:t>企业（品牌）基本情况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仿宋" w:hAnsi="仿宋" w:eastAsia="仿宋" w:cs="Times New Roman"/>
          <w:sz w:val="32"/>
          <w:szCs w:val="32"/>
        </w:rPr>
        <w:t>企业（品牌）成立时间、申报类别、主营业务、基本定位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sz w:val="32"/>
          <w:szCs w:val="32"/>
        </w:rPr>
        <w:t>企业（品牌）代表作品、特色亮点、主要业绩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pacing w:val="-6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ascii="仿宋" w:hAnsi="仿宋" w:eastAsia="仿宋" w:cs="Times New Roman"/>
          <w:spacing w:val="-6"/>
          <w:sz w:val="32"/>
          <w:szCs w:val="32"/>
        </w:rPr>
        <w:t>企业（品牌）规模体量、分支机构开设情况</w:t>
      </w:r>
      <w:r>
        <w:rPr>
          <w:rFonts w:hint="eastAsia" w:ascii="仿宋" w:hAnsi="仿宋" w:eastAsia="仿宋" w:cs="Times New Roman"/>
          <w:spacing w:val="-6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推荐</w:t>
      </w:r>
      <w:r>
        <w:rPr>
          <w:rFonts w:ascii="黑体" w:hAnsi="黑体" w:eastAsia="黑体" w:cs="Times New Roman"/>
          <w:sz w:val="32"/>
          <w:szCs w:val="32"/>
        </w:rPr>
        <w:t>企业（品牌）“两效统一”实现情况</w:t>
      </w:r>
    </w:p>
    <w:p>
      <w:pPr>
        <w:spacing w:line="62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（一）推荐企业（品牌）社会效益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仿宋" w:hAnsi="仿宋" w:eastAsia="仿宋" w:cs="Times New Roman"/>
          <w:sz w:val="32"/>
          <w:szCs w:val="32"/>
        </w:rPr>
        <w:t>创作生产中坚持主流价值导向情况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sz w:val="32"/>
          <w:szCs w:val="32"/>
        </w:rPr>
        <w:t>宣传文化主业业务工作开展情况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ascii="仿宋" w:hAnsi="仿宋" w:eastAsia="仿宋" w:cs="Times New Roman"/>
          <w:sz w:val="32"/>
          <w:szCs w:val="32"/>
        </w:rPr>
        <w:t>贯彻落实国家战略、我省政策举措成效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</w:t>
      </w:r>
      <w:r>
        <w:rPr>
          <w:rFonts w:ascii="仿宋" w:hAnsi="仿宋" w:eastAsia="仿宋" w:cs="Times New Roman"/>
          <w:sz w:val="32"/>
          <w:szCs w:val="32"/>
        </w:rPr>
        <w:t>主动参与</w:t>
      </w:r>
      <w:r>
        <w:rPr>
          <w:rFonts w:hint="eastAsia" w:ascii="仿宋" w:hAnsi="仿宋" w:eastAsia="仿宋" w:cs="Times New Roman"/>
          <w:sz w:val="32"/>
          <w:szCs w:val="32"/>
        </w:rPr>
        <w:t>抗疫、</w:t>
      </w:r>
      <w:r>
        <w:rPr>
          <w:rFonts w:ascii="仿宋" w:hAnsi="仿宋" w:eastAsia="仿宋" w:cs="Times New Roman"/>
          <w:sz w:val="32"/>
          <w:szCs w:val="32"/>
        </w:rPr>
        <w:t>扶贫、慈善、环保等社会公益活动，履行社会责任，为社会做出的贡献情况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</w:t>
      </w:r>
      <w:r>
        <w:rPr>
          <w:rFonts w:ascii="仿宋" w:hAnsi="仿宋" w:eastAsia="仿宋" w:cs="Times New Roman"/>
          <w:sz w:val="32"/>
          <w:szCs w:val="32"/>
        </w:rPr>
        <w:t>获奖情况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</w:t>
      </w:r>
      <w:r>
        <w:rPr>
          <w:rFonts w:ascii="仿宋" w:hAnsi="仿宋" w:eastAsia="仿宋" w:cs="Times New Roman"/>
          <w:sz w:val="32"/>
          <w:szCs w:val="32"/>
        </w:rPr>
        <w:t>内控制度情况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</w:t>
      </w:r>
      <w:r>
        <w:rPr>
          <w:rFonts w:ascii="仿宋" w:hAnsi="仿宋" w:eastAsia="仿宋" w:cs="Times New Roman"/>
          <w:sz w:val="32"/>
          <w:szCs w:val="32"/>
        </w:rPr>
        <w:t>企业（品牌）创新、文化“走出去”等情况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（二）推荐企业（品牌）经济效益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1.企业</w:t>
      </w: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21</w:t>
      </w:r>
      <w:r>
        <w:rPr>
          <w:rFonts w:ascii="仿宋" w:hAnsi="仿宋" w:eastAsia="仿宋" w:cs="Times New Roman"/>
          <w:sz w:val="32"/>
          <w:szCs w:val="32"/>
        </w:rPr>
        <w:t>年基本经济数据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sz w:val="32"/>
          <w:szCs w:val="32"/>
        </w:rPr>
        <w:t>企业（品牌）近3年</w:t>
      </w:r>
      <w:r>
        <w:rPr>
          <w:rFonts w:hint="eastAsia" w:ascii="仿宋" w:hAnsi="仿宋" w:eastAsia="仿宋" w:cs="Times New Roman"/>
          <w:sz w:val="32"/>
          <w:szCs w:val="32"/>
        </w:rPr>
        <w:t>（2019—2021年）</w:t>
      </w:r>
      <w:r>
        <w:rPr>
          <w:rFonts w:ascii="仿宋" w:hAnsi="仿宋" w:eastAsia="仿宋" w:cs="Times New Roman"/>
          <w:sz w:val="32"/>
          <w:szCs w:val="32"/>
        </w:rPr>
        <w:t>业绩成长情况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3.企业</w:t>
      </w:r>
      <w:r>
        <w:rPr>
          <w:rFonts w:ascii="仿宋" w:hAnsi="仿宋" w:eastAsia="仿宋" w:cs="Times New Roman"/>
          <w:sz w:val="32"/>
          <w:szCs w:val="32"/>
        </w:rPr>
        <w:t>业务领域开拓、业态融合创新情况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</w:t>
      </w:r>
      <w:r>
        <w:rPr>
          <w:rFonts w:hint="eastAsia" w:ascii="黑体" w:hAnsi="黑体" w:eastAsia="黑体" w:cs="Times New Roman"/>
          <w:sz w:val="32"/>
          <w:szCs w:val="32"/>
        </w:rPr>
        <w:t>推荐企业</w:t>
      </w:r>
      <w:r>
        <w:rPr>
          <w:rFonts w:ascii="黑体" w:hAnsi="黑体" w:eastAsia="黑体" w:cs="Times New Roman"/>
          <w:sz w:val="32"/>
          <w:szCs w:val="32"/>
        </w:rPr>
        <w:t>（品牌）入围理由简述（200字以内）</w:t>
      </w:r>
    </w:p>
    <w:p>
      <w:pPr>
        <w:spacing w:line="620" w:lineRule="exact"/>
        <w:ind w:firstLine="640" w:firstLineChars="200"/>
        <w:rPr>
          <w:rFonts w:eastAsia="方正仿宋简体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851" w:gutter="0"/>
          <w:cols w:space="425" w:num="1"/>
          <w:docGrid w:type="lines" w:linePitch="312" w:charSpace="0"/>
        </w:sectPr>
      </w:pPr>
      <w:r>
        <w:rPr>
          <w:rFonts w:ascii="仿宋" w:hAnsi="仿宋" w:eastAsia="仿宋" w:cs="Times New Roman"/>
          <w:sz w:val="32"/>
          <w:szCs w:val="32"/>
        </w:rPr>
        <w:t>精炼概括</w:t>
      </w:r>
      <w:r>
        <w:rPr>
          <w:rFonts w:hint="eastAsia" w:ascii="仿宋" w:hAnsi="仿宋" w:eastAsia="仿宋" w:cs="Times New Roman"/>
          <w:sz w:val="32"/>
          <w:szCs w:val="32"/>
        </w:rPr>
        <w:t>推荐企业</w:t>
      </w:r>
      <w:r>
        <w:rPr>
          <w:rFonts w:ascii="仿宋" w:hAnsi="仿宋" w:eastAsia="仿宋" w:cs="Times New Roman"/>
          <w:sz w:val="32"/>
          <w:szCs w:val="32"/>
        </w:rPr>
        <w:t>（品牌）自身规模实力、对产业发展的引领效果、对地区经济的影响作用，取得的行业影响力、国内外影响力等。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d w:val="-811093885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left="210" w:leftChars="100" w:right="210" w:rightChars="100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9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rPr>
                        <w:rFonts w:asciiTheme="minorEastAsia" w:hAnsiTheme="minorEastAsia"/>
                        <w:sz w:val="28"/>
                        <w:szCs w:val="28"/>
                      </w:rPr>
                      <w:id w:val="-811093885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left="210" w:leftChars="100" w:right="210" w:rightChars="100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9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12207045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zh-CN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57B44391"/>
    <w:rsid w:val="57B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2022-06-13T03:00:00Z</dcterms:created>
  <dc:creator>wenn</dc:creator>
  <cp:lastModifiedBy>wenn</cp:lastModifiedBy>
  <dcterms:modified xsi:type="dcterms:W3CDTF">2022-06-13T03:00:31Z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45ABB9AE3CE44B6D9B94924D29F04409</vt:lpwstr>
  </property>
</Properties>
</file>