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附件3</w:t>
      </w:r>
      <w:r>
        <w:rPr>
          <w:rFonts w:hint="eastAsia" w:ascii="黑体" w:hAnsi="黑体" w:eastAsia="黑体" w:cs="宋体"/>
          <w:kern w:val="0"/>
          <w:sz w:val="32"/>
          <w:szCs w:val="32"/>
        </w:rPr>
        <w:t>-2</w:t>
      </w:r>
    </w:p>
    <w:p>
      <w:pPr>
        <w:spacing w:line="72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第二届“湖北省十大最具成长性文化企业”推荐表</w:t>
      </w:r>
      <w:bookmarkEnd w:id="0"/>
    </w:p>
    <w:tbl>
      <w:tblPr>
        <w:tblStyle w:val="2"/>
        <w:tblW w:w="98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97"/>
        <w:gridCol w:w="313"/>
        <w:gridCol w:w="235"/>
        <w:gridCol w:w="1466"/>
        <w:gridCol w:w="709"/>
        <w:gridCol w:w="709"/>
        <w:gridCol w:w="850"/>
        <w:gridCol w:w="709"/>
        <w:gridCol w:w="142"/>
        <w:gridCol w:w="862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62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 址</w:t>
            </w:r>
          </w:p>
        </w:tc>
        <w:tc>
          <w:tcPr>
            <w:tcW w:w="51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  ）    外资（  ）    民营（  ）    其它（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境内上市：主板上市( )  中小板上市( )  创业板上市( )  科创板上市( )     北交所上市（ ）  境外上市：______________（上市国家、地区及交易所）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主营业务范围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2019年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2020年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2021年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年均复合增长率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营业收入年增长率（%）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净利润总额年增长率（%）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4"/>
                <w:szCs w:val="24"/>
              </w:rPr>
              <w:t>截至当年年底的净资产总额（万元）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净资产收益率（%）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资产负债率（%）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2020—2021年国家级（省级）奖项、科研成果、知识产权登记等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（积极创造就业机会，抓好安全生产等履行社会责任情况，主动参与扶贫、慈善、环保等社会公益项目情况。300字以内。）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2019年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2020年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入选国家/省级出版基金资助项目、出版重点出版物选题和已出版的入选“十三五”国家/省级重点图书、音像、电子出版物出版规划的种数（种）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影视企业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作为唯一出品人或第一出品人创作完成并上映的影视剧数量（部）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演艺企业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演出剧目数量（个）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广电传输网络企业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有线网络数字化率（%）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出版物印刷发行企业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印刷发行国家/省级出版基金资助项目、主题出版重点出版物项目和入选“十三五”国家/省级重点图书、音像、电子出版物出版规划的种数（种）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印刷发行国家/省级出版基金资助项目、主题出版重点出版物项目和入选“十三五”国家/省级重点图书、音像、电子出版物出版规划的册数（册）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电影发行放映企业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印刷发行放映国产重点影片数量，限主发行人（部）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文艺演出场所企业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年平均上座率（%）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投资运营类企业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文化类项目投资额占比，即投资、担保、并购重组的文化类项目投资金额占比（%）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文化科技类企业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获得文化相关的国家专利数量（个）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文化制造类企业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获得文化相关的国家专利数量（个）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内控制度情况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（建立健全现代法人治理结构情况，从事内容生产的企业建立和完善编辑委员会、艺术委员会等专门机构情况。300字以内。）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26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                                                                  企业盖章：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82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26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2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企业联系人及电话 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说明：</w:t>
            </w: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1．“成立时间”一栏，转企改制企业以转企改制时间为准。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．“企业类别”一栏，按照《文化及相关产业分类（2018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3．“主营业务范围”一栏，限填主营收入占比最大的两个板块，20字以内。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4、主营业务收入和净利润数据以利润表（损益表）为准，净资产数据以资产负债表为准。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．“国家级（省级）奖项、科研成果、知识产权登记等”，奖项名称仅限于附件6所列奖项且不含提名奖，获奖时间仅限2020-2021年（以获奖证书落款时间为准）。科研成果、知识产权登记等，均限2020-2021年（以相关证书落款时间为准）。所列奖项、科研成果、知识产权登记须有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6．“企业宣传文化主业业务情况”栏，限填一项，对涉及多方面业务的企业，可自主选择上述某一类业务情况作为指标，所填数据均需提供相关证明材料。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7．项目填写内容较多，可以增加行数。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A5ZmNmOWFkMzUzYjQzMzViYTJlYzg4ZDI0NTcifQ=="/>
  </w:docVars>
  <w:rsids>
    <w:rsidRoot w:val="22F22D69"/>
    <w:rsid w:val="22F2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2022-06-13T02:52:00Z</dcterms:created>
  <dc:creator>wenn</dc:creator>
  <cp:lastModifiedBy>wenn</cp:lastModifiedBy>
  <dcterms:modified xsi:type="dcterms:W3CDTF">2022-06-13T02:55:45Z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499EF2D27999467E9BAFCBD301CD5761</vt:lpwstr>
  </property>
</Properties>
</file>